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wmf" ContentType="image/x-wmf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Nr: </w:t>
      </w:r>
      <w:bookmarkStart w:id="0" w:name="_GoBack"/>
      <w:bookmarkEnd w:id="0"/>
      <w:r>
        <w:rPr>
          <w:rFonts w:cs="Times New Roman" w:ascii="Times New Roman" w:hAnsi="Times New Roman"/>
          <w:sz w:val="20"/>
          <w:szCs w:val="20"/>
        </w:rPr>
        <w:t>WRM.042.17.16.2025</w:t>
      </w:r>
    </w:p>
    <w:p>
      <w:pPr>
        <w:pStyle w:val="Normal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SPECYFIKACJA </w:t>
      </w:r>
      <w:r>
        <w:rPr>
          <w:rFonts w:cs="Times New Roman" w:ascii="Times New Roman" w:hAnsi="Times New Roman"/>
          <w:b/>
        </w:rPr>
        <w:t>ZAPYTANI</w:t>
      </w:r>
      <w:r>
        <w:rPr>
          <w:rFonts w:cs="Times New Roman" w:ascii="Times New Roman" w:hAnsi="Times New Roman"/>
          <w:b/>
        </w:rPr>
        <w:t>A</w:t>
      </w:r>
      <w:r>
        <w:rPr>
          <w:rFonts w:cs="Times New Roman" w:ascii="Times New Roman" w:hAnsi="Times New Roman"/>
          <w:b/>
        </w:rPr>
        <w:t xml:space="preserve"> OFERTOWE</w:t>
      </w:r>
      <w:r>
        <w:rPr>
          <w:rFonts w:cs="Times New Roman" w:ascii="Times New Roman" w:hAnsi="Times New Roman"/>
          <w:b/>
        </w:rPr>
        <w:t>GO</w:t>
      </w:r>
    </w:p>
    <w:p>
      <w:pPr>
        <w:pStyle w:val="Normal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PEŁNA NAZWA ZAMAWIAJĄCEGO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Zamawiający: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Gmina Miejska Tczew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Plac Józefa Piłsudskiego 1,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83-110 Tczew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NIP 5930005678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Wydział prowadzący sprawę: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Wydział Rozwoju Miasta Urzędu Miejskiego w Tczewie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tel. 58 77 59 480 lub 58 77 59 471, e-mail: </w:t>
      </w:r>
      <w:hyperlink r:id="rId2">
        <w:r>
          <w:rPr>
            <w:rStyle w:val="Hyperlink"/>
            <w:rFonts w:cs="Times New Roman" w:ascii="Times New Roman" w:hAnsi="Times New Roman"/>
          </w:rPr>
          <w:t>jagodda@um.tczew.pl</w:t>
        </w:r>
      </w:hyperlink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</w:rPr>
        <w:t>PRZEDMIOT ZAMÓWIENIA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Przedmiot zamówienia obejmuje wykonanie </w:t>
      </w:r>
      <w:r>
        <w:rPr>
          <w:rFonts w:cs="Times New Roman" w:ascii="Times New Roman" w:hAnsi="Times New Roman"/>
          <w:b/>
        </w:rPr>
        <w:t>szkoleń specjalistycznych dla pracowników (informatyków) Miejskiego Ośrodka Pomocy Społecznej w Tczewie</w:t>
      </w:r>
      <w:r>
        <w:rPr>
          <w:rFonts w:cs="Times New Roman" w:ascii="Times New Roman" w:hAnsi="Times New Roman"/>
        </w:rPr>
        <w:t xml:space="preserve"> w ramach projektu pn. </w:t>
      </w:r>
      <w:r>
        <w:rPr>
          <w:rFonts w:cs="Times New Roman" w:ascii="Times New Roman" w:hAnsi="Times New Roman"/>
          <w:i/>
        </w:rPr>
        <w:t>„Cyberbezpieczny Tczew”,</w:t>
      </w:r>
      <w:r>
        <w:rPr>
          <w:rFonts w:cs="Times New Roman" w:ascii="Times New Roman" w:hAnsi="Times New Roman"/>
        </w:rPr>
        <w:t xml:space="preserve"> dofinansowanego z konkursu grantowego „Cyberbezpieczny Samorząd” realizowanego z Funduszy Europejskich na Rozwój Cyfrowy 2021-2027 (FERC) Priorytet II: Zaawansowane usługi cyfrowe Działanie 2.2. – Wzmocnienie krajowego systemu cyberbezpieczeństwa.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TRYB UDZIELENIA ZAMÓWIENIA</w:t>
      </w:r>
    </w:p>
    <w:p>
      <w:pPr>
        <w:pStyle w:val="ListParagraph"/>
        <w:numPr>
          <w:ilvl w:val="0"/>
          <w:numId w:val="3"/>
        </w:numPr>
        <w:ind w:hanging="360"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Niniejsze postępowanie prowadzone jest w formie zapytania ofertowego w oparciu o zasadę konkurencyjności, o której mowa w Wytycznych dotyczących kwalifikowalności wydatków na lata 2021-2027 z dnia 14 marca 2025 r.</w:t>
      </w:r>
    </w:p>
    <w:p>
      <w:pPr>
        <w:pStyle w:val="ListParagraph"/>
        <w:numPr>
          <w:ilvl w:val="0"/>
          <w:numId w:val="3"/>
        </w:numPr>
        <w:ind w:hanging="360"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Postepowanie jest zgodne z Regulaminem udzielania zamówień publicznych dla Urzędu Miejskiego w Tczewie z dnia 01.04.2025 r. wprowadzonego Zarządzeniem Wewnętrznym Nr 20/2025 Prezydenta Miasta Tczewa</w:t>
      </w:r>
    </w:p>
    <w:p>
      <w:pPr>
        <w:pStyle w:val="ListParagraph"/>
        <w:numPr>
          <w:ilvl w:val="0"/>
          <w:numId w:val="3"/>
        </w:numPr>
        <w:spacing w:before="24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Oznaczenie wg Wspólnego Słownika Zamówień (kod CPV):</w:t>
      </w:r>
    </w:p>
    <w:p>
      <w:pPr>
        <w:pStyle w:val="Normal"/>
        <w:spacing w:before="24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80500000-9 Usługi szkoleniowe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80511000-9 Usługi szkolenia personelu</w:t>
      </w:r>
    </w:p>
    <w:p>
      <w:pPr>
        <w:pStyle w:val="Normal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80510000-2 Usługi szkolenia specjalistycznego</w:t>
      </w:r>
    </w:p>
    <w:p>
      <w:pPr>
        <w:pStyle w:val="ListParagraph"/>
        <w:numPr>
          <w:ilvl w:val="0"/>
          <w:numId w:val="3"/>
        </w:numPr>
        <w:ind w:hanging="360"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dopuszcza składanie ofert częściowych.</w:t>
      </w:r>
    </w:p>
    <w:p>
      <w:pPr>
        <w:pStyle w:val="ListParagraph"/>
        <w:numPr>
          <w:ilvl w:val="0"/>
          <w:numId w:val="3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nie dopuszcza składania ofert wariantowych.</w:t>
      </w:r>
    </w:p>
    <w:p>
      <w:pPr>
        <w:pStyle w:val="ListParagraph"/>
        <w:numPr>
          <w:ilvl w:val="0"/>
          <w:numId w:val="3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nie przewiduje udzielania zamówień uzupełniających.</w:t>
      </w:r>
    </w:p>
    <w:p>
      <w:pPr>
        <w:pStyle w:val="ListParagraph"/>
        <w:numPr>
          <w:ilvl w:val="0"/>
          <w:numId w:val="3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Postępowanie prowadzone jest w języku polskim, w portalu Baza Konkurencyjności: </w:t>
      </w:r>
      <w:hyperlink r:id="rId3">
        <w:r>
          <w:rPr>
            <w:rStyle w:val="Hyperlink"/>
            <w:rFonts w:cs="Times New Roman" w:ascii="Times New Roman" w:hAnsi="Times New Roman"/>
          </w:rPr>
          <w:t>https://bazakonkurencyjnosci.funduszeeuropejskie.gov.pl</w:t>
        </w:r>
      </w:hyperlink>
    </w:p>
    <w:p>
      <w:pPr>
        <w:pStyle w:val="ListParagraph"/>
        <w:spacing w:before="0" w:after="0"/>
        <w:ind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OPIS PRZEDMIOTU ZAMÓWIENIA</w:t>
      </w:r>
    </w:p>
    <w:p>
      <w:pPr>
        <w:pStyle w:val="ListParagraph"/>
        <w:numPr>
          <w:ilvl w:val="0"/>
          <w:numId w:val="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Przedmiot zamówienia jest podzielony na </w:t>
      </w:r>
      <w:r>
        <w:rPr>
          <w:rFonts w:cs="Times New Roman" w:ascii="Times New Roman" w:hAnsi="Times New Roman"/>
          <w:b/>
          <w:u w:val="single"/>
        </w:rPr>
        <w:t>4 części.</w:t>
      </w:r>
    </w:p>
    <w:p>
      <w:pPr>
        <w:pStyle w:val="ListParagraph"/>
        <w:numPr>
          <w:ilvl w:val="0"/>
          <w:numId w:val="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Ocena ofert zostanie przeprowadzona dla każdej części z osobna.</w:t>
      </w:r>
    </w:p>
    <w:p>
      <w:pPr>
        <w:pStyle w:val="ListParagraph"/>
        <w:numPr>
          <w:ilvl w:val="0"/>
          <w:numId w:val="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Wykonawcy mogą składać oferty na dowolną liczbę części.</w:t>
      </w:r>
    </w:p>
    <w:p>
      <w:pPr>
        <w:pStyle w:val="ListParagraph"/>
        <w:numPr>
          <w:ilvl w:val="0"/>
          <w:numId w:val="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Opis poszczególnych części zamówienia:</w:t>
      </w:r>
    </w:p>
    <w:p>
      <w:pPr>
        <w:pStyle w:val="ListParagraph"/>
        <w:spacing w:lineRule="auto" w:line="360" w:before="0" w:after="0"/>
        <w:ind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</w:rPr>
        <w:t>Realizacja usługi szkoleń specjalistycznych dla pracowników (informatyków) Miejskiego Ośrodka Pomocy Społecznej w Tczewie: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  <w:t xml:space="preserve">CZĘŚĆ ZAMÓWIENIA NR 1: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Cześć zamówienia nr 1 składa się z dwóch nierozłącznych Zadań: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u w:val="single"/>
        </w:rPr>
        <w:t>Zadanie 1.</w:t>
      </w:r>
      <w:r>
        <w:rPr>
          <w:rFonts w:cs="Times New Roman" w:ascii="Times New Roman" w:hAnsi="Times New Roman"/>
          <w:b/>
        </w:rPr>
        <w:t xml:space="preserve"> Szkolenie: PROXMOX VE - FUNDAMENTY WIRTUALIZACJI.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Opis szkolenia: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Szkolenie 2 dniowe dla 2 osób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Szkolenie z wirtualizacji dla administratorów IT, dające praktyczne umiejętności w zakresie instalacji, konfiguracji i zarządzania wirtualizacją w Proxmox VE.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Program szkolenia: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Wprowadzenie do Proxmox VE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Architektura i komponenty Proxmox VE,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Konfiguracja sieci w środowisku Proxmox,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Praca z magazynami danych i zasobami dyskowymi: lokalne, NFS, iSCSI,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Przegląd rozwiązań wirtualizacyjnych.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u w:val="single"/>
        </w:rPr>
        <w:t>Zadanie 2.</w:t>
      </w:r>
      <w:r>
        <w:rPr>
          <w:rFonts w:cs="Times New Roman" w:ascii="Times New Roman" w:hAnsi="Times New Roman"/>
          <w:b/>
        </w:rPr>
        <w:t xml:space="preserve"> Szkolenie: PROXMOX VE - ZAAWANSOWANA WIRTUALIZACJA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Opis szkolenia: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Szkolenie 2 dniowe dla 1 osoby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Szkolenie jest poszerzeniem wiedzy w zakresie kompleksowej wiedzy z wirtualizacji, z wykorzystaniem rozwiązania Proxmox VE.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Program szkolenia:</w:t>
      </w:r>
    </w:p>
    <w:p>
      <w:pPr>
        <w:pStyle w:val="ListParagraph"/>
        <w:numPr>
          <w:ilvl w:val="0"/>
          <w:numId w:val="3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IAM w Proxmox – wstęp do zarządzania użytkownikami i uprawnieniami w Proxmox,</w:t>
      </w:r>
    </w:p>
    <w:p>
      <w:pPr>
        <w:pStyle w:val="ListParagraph"/>
        <w:numPr>
          <w:ilvl w:val="0"/>
          <w:numId w:val="3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Zarządzanie węzłami,</w:t>
      </w:r>
    </w:p>
    <w:p>
      <w:pPr>
        <w:pStyle w:val="ListParagraph"/>
        <w:numPr>
          <w:ilvl w:val="0"/>
          <w:numId w:val="3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Wprowadzenie i tworzenie sieci w Proxmox,</w:t>
      </w:r>
    </w:p>
    <w:p>
      <w:pPr>
        <w:pStyle w:val="ListParagraph"/>
        <w:numPr>
          <w:ilvl w:val="0"/>
          <w:numId w:val="3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Szablony maszyn wirtualnych,</w:t>
      </w:r>
    </w:p>
    <w:p>
      <w:pPr>
        <w:pStyle w:val="ListParagraph"/>
        <w:numPr>
          <w:ilvl w:val="0"/>
          <w:numId w:val="3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Proxmox Storage,</w:t>
      </w:r>
    </w:p>
    <w:p>
      <w:pPr>
        <w:pStyle w:val="ListParagraph"/>
        <w:numPr>
          <w:ilvl w:val="0"/>
          <w:numId w:val="3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Automatyzacja w Proxmox,</w:t>
      </w:r>
    </w:p>
    <w:p>
      <w:pPr>
        <w:pStyle w:val="ListParagraph"/>
        <w:numPr>
          <w:ilvl w:val="0"/>
          <w:numId w:val="35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Automatyzacja konfiguracji z terraform.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  <w:t xml:space="preserve">CZĘŚĆ ZAMÓWIENIA NR 2: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Szkolenie: ADMINISTROWANIE SYSTEMEM WINDOWS SERVER.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Opis szkolenia: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Szkolenie 5 dniowe dla 1 osoby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Kurs IT w zakresie podstawowych umiejętności administracyjnych wymaganych do wdrożenia i obsługi systemu Windows Server w większości organizacji.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Program szkolenia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Wprowadzenie do administracji systemu Windows Server:</w:t>
      </w:r>
    </w:p>
    <w:p>
      <w:pPr>
        <w:pStyle w:val="Normal"/>
        <w:tabs>
          <w:tab w:val="clear" w:pos="397"/>
          <w:tab w:val="left" w:pos="284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systemu Windows Server,</w:t>
      </w:r>
    </w:p>
    <w:p>
      <w:pPr>
        <w:pStyle w:val="Normal"/>
        <w:tabs>
          <w:tab w:val="clear" w:pos="397"/>
          <w:tab w:val="left" w:pos="284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systemu Windows Server Core,</w:t>
      </w:r>
    </w:p>
    <w:p>
      <w:pPr>
        <w:pStyle w:val="Normal"/>
        <w:tabs>
          <w:tab w:val="clear" w:pos="397"/>
          <w:tab w:val="left" w:pos="284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zasad i narzędzi administracyjnych systemu Windows Server,</w:t>
      </w:r>
    </w:p>
    <w:p>
      <w:pPr>
        <w:pStyle w:val="Normal"/>
        <w:tabs>
          <w:tab w:val="clear" w:pos="397"/>
          <w:tab w:val="left" w:pos="284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konfiguracja systemu Server Core,</w:t>
      </w:r>
    </w:p>
    <w:p>
      <w:pPr>
        <w:pStyle w:val="Normal"/>
        <w:tabs>
          <w:tab w:val="clear" w:pos="397"/>
          <w:tab w:val="left" w:pos="284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stosowanie zdalnej administracji serwerami,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Usługi zarządzania tożsamością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AD DS,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kontrolerów domeny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usługi Azure AD,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zasad grupy,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usług certyfikatów Active Directory,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usług zarządzania tożsamością i zasad grupy,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nowego kontrolera domeny w systemie Server Core,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Konfigurowanie zasad grupy,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korzystanie z usług certyfikatów,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Wyjaśnienie podstaw zasad grupy i konfiguracja GPO w środowisku domenowym,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Opis roli usług certyfikatów Active Directory i korzystanie z certyfikatów,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Usługi infrastruktury sieciowej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zarządzanie protokołem DHCP,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zarządzanie systemem DNS,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zarządzanie systemem IPAM,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Usługi dostępu zdalnego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konfiguracja usług infrastruktury sieciowej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konfiguracja protokołu DHCP,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konfiguracja systemu DNS,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serwera proxy aplikacji sieci WWW,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Serwery plików i zarządzanie pamięcią masową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Woluminy i systemy plików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udostępniania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rozwiązania Storage Spaces (przestrzeni dyskowych)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deduplikacji danych,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interfejsu iSCSI,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rozproszonego systemu plików,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rozwiązań pamięci masowej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deduplikacji danych,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magazynu iSCSI,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nadmiarowych przestrzeni dyskowych,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Storage Spaces Direct,</w:t>
      </w:r>
    </w:p>
    <w:p>
      <w:pPr>
        <w:pStyle w:val="ListParagraph"/>
        <w:numPr>
          <w:ilvl w:val="0"/>
          <w:numId w:val="28"/>
        </w:numPr>
        <w:spacing w:before="0" w:after="0"/>
        <w:ind w:hanging="349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Wirtualizacja Hyper-V i kontenery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Hyper-V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maszyn wirtualnych,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Zabezpieczanie wirtualizacji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Kontenery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platformy Kubernetes,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Ćwiczenie: Wdrażanie i konfiguracja wirtualizacji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Tworzenie i konfigurowanie maszyn wirtualnych,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Instalacja i konfiguracja kontenerów,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Wysoka dostępność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Planowanie wdrożenia klastra pracy awaryjnej,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Tworzenie i konfiguracja klastra pracy awaryjnej,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rozciągniętych klastrów,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Planowanie rozwiązań w zakresie wysokiej dostępności i odzyskiwania danych po awarii z wykorzystaniem maszyn wirtualnych funkcji Hyper-V,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klastra pracy awaryjnej,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pamięci masowej i tworzenie klastra,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konfiguracja serwera plików o wysokiej dostępności,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Sprawdzanie poprawności wdrożenia serwera plików o wysokiej dostępności,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Odzyskiwanie danych po awarii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Funkcja Hyper-V Replica,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Tworzenie kopii zapasowych i przywracanie infrastruktury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funkcji Hyper-V Replica i Windows Server Backup,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funkcji Hyper-V Replica,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tworzenia kopii zapasowych i przywracania za pomocą narzędzia Windows Server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Backup,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Bezpieczeństwo systemu Windows Server: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Ochrona danych uwierzytelniających i dostępu uprzywilejowanego,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Hardening systemu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JEA w systemie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Zabezpieczanie i analiza ruchu w SMB,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Zarządzanie aktualizacjami w systemie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zabezpieczeń w systemie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funkcji Windows Defender Credential Guard,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Lokalizowanie problematycznych kont,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rozwiązania LAPS,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RDS (usługi pulpitu zdalnego) w systemie Windows Server: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RDS,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wdrażania pulpitu opartego na sesji,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osobistych i połączonych pulpitów wirtualnych,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RDS w systemie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Konfigurowanie ustawień kolekcji sesji i wykorzystywanie RDC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szablonu pulpitu wirtualnego,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Dostęp zdalny i usługi internetowe w systemie Windows Server: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sieci VPN,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usługi Always On VPN,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systemu NPS,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serwera WWW w systemie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obciążeń sieciowych,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sieci VPN w systemie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i konfiguracja serwera WWW,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Monitorowanie serwera i wydajności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Wprowadzenie do narzędzi do monitorowania systemu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Korzystanie z monitora wydajności,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Monitorowanie dzienników zdarzeń w celu rozwiązywania problemów,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Monitorowanie i rozwiązywanie problemów z systemem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Ustanowienie bazowego poziomu wydajności,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Identyfikacja źródła problemu z wydajnością,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Aktualizacja i migracja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Migracja AD DS,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Usługa migracji pamięci masowej,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Narzędzia do migracji systemu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Migracja obciążeń serwera,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usługi migracji pamięci masowej,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  <w:t xml:space="preserve">CZĘŚĆ ZAMÓWIENIA NR 3: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Szkolenie: WIRTUALIZACJA HYPER-V, MAGAZYNOWANIE I PRZETWARZANIE DANYCH W ŚRODOWISKU MICROSOFT WINDOWS SERVER 2022.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Opis szkolenia: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Szkolenie 3 dniowe dla 2 osób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Program szkolenia: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Omówienie funkcji administracyjnych systemu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Informacje wstępne o systemie Windows Server 2019,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Omówienie najważniejszych funkcji systemu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Omówienie zasad i narzędzi związanych z zarządzaniem systemem Windows Server,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Zarządzanie serwerami plików i pamięcią masową w systemie Windows Server: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Wolumeny i systemy plików w systemie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Współużytkowanie zasobów w systemie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obszarów pamięci masowej w systemie Windows Server,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funkcji deduplikacji danych,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protokołu iSCSI,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Wdrażanie rozproszonego systemu plików,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Migracja magazynu danych w Windows Server 2022,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Oprogramowanie do wirtualizacji Hyper-V i kontenery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Hyper-V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Konfigurowanie maszyn wirtualnych,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Zabezpieczenie wirtualizacji w systemie Windows Server,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Ulepszenia działania wirtualnego przełącznika sieciowego w Windows Server 2022,‎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Kontenery w systemie Windows Server,</w:t>
      </w:r>
    </w:p>
    <w:p>
      <w:pPr>
        <w:pStyle w:val="ListParagraph"/>
        <w:numPr>
          <w:ilvl w:val="0"/>
          <w:numId w:val="28"/>
        </w:numPr>
        <w:spacing w:before="0" w:after="0"/>
        <w:ind w:hanging="349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Funkcje wysokiej dostępności w systemie Windows Server:</w:t>
      </w:r>
    </w:p>
    <w:p>
      <w:pPr>
        <w:pStyle w:val="Normal"/>
        <w:tabs>
          <w:tab w:val="clear" w:pos="397"/>
          <w:tab w:val="left" w:pos="426" w:leader="none"/>
        </w:tabs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Planowanie wdrażania klastrów na potrzeby przełączania awaryjnego,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Tworzenie i konfigurowanie klastra przełączania awaryjnego,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Omówienie klastrów rozległych,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Funkcje wysokiej dostępności i rozwiązania do usuwania skutków awarii oparte na maszynach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wirtualnych Hyper-V,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Usuwanie skutków awarii w systemie Windows Server: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Funkcja Hyper-V Replica,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Infrastruktura tworzenia i odtwarzania kopii zapasowych w systemie Windows Server,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Implementowanie i zarządzanie zasobami typu failover clustering: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Planowanie strategii wdrożenia typu failover cluster,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Tworzenie i konfiguracja struktury failover cluster,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Monitoring infrastruktury,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Implementowanie rozwiązań typu failover clustering dla maszyn wirtualnych w Hyper-V: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Prezentacja i integracja Hyper-V w Windows Server 2016 wraz z failover clustering,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Implementacja i zarządzanie maszynami wirtualnymi w Hyper-V w failover clusters,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Główne cechy wdrożeń maszyn wirtualnych w środowisku typu wysokiej dostępności i niezawodności,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Szyfrowane Cluster Shared Volumes w Windows Server 2022,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Implementowanie network load balancing: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Przegląd metod zastosowania klastrów typu NLB,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klastrów NLB,</w:t>
      </w:r>
    </w:p>
    <w:p>
      <w:pPr>
        <w:pStyle w:val="Normal"/>
        <w:spacing w:before="0" w:after="0"/>
        <w:ind w:left="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Planowanie i implementacja NLB.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  <w:t xml:space="preserve">CZĘŚĆ ZAMÓWIENIA NR 4: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Cześć zamówienia nr 4 składa się z dwóch nierozłącznych Zadań: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Zadanie 1: Szkolenie FORTIGATE – KOMPLEKSOWE BEZPIECZEŃSTWO SIECI KOMPUTEROWEJ.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Opis szkolenia: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Szkolenie 3 dniowe dla 1 osoby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Program szkolenia:</w:t>
      </w:r>
    </w:p>
    <w:p>
      <w:pPr>
        <w:pStyle w:val="ListParagraph"/>
        <w:numPr>
          <w:ilvl w:val="0"/>
          <w:numId w:val="28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Fizyczna budowa urządzeń FortiGate,</w:t>
      </w:r>
    </w:p>
    <w:p>
      <w:pPr>
        <w:pStyle w:val="ListParagraph"/>
        <w:numPr>
          <w:ilvl w:val="0"/>
          <w:numId w:val="28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Wstępna konfiguracja urządzenia FortiGate: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Tryby pracy NAT/Transparent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Konfiguracja sieci i routingu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System Dashboard i moduły systemu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Administracja urządzeniem (WWW, CLI)</w:t>
      </w:r>
    </w:p>
    <w:p>
      <w:pPr>
        <w:pStyle w:val="ListParagraph"/>
        <w:numPr>
          <w:ilvl w:val="0"/>
          <w:numId w:val="29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Polityki zapory sieciowej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Koncepcja firewall w urządzeniach FortiGate,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Tworzenie obiektów dla reguł firewall,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Translacja adresów NAT i Virtual IP,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Internet Service Database:</w:t>
      </w:r>
    </w:p>
    <w:p>
      <w:pPr>
        <w:pStyle w:val="ListParagraph"/>
        <w:numPr>
          <w:ilvl w:val="0"/>
          <w:numId w:val="29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Inspekcja ruchu SSL i metody dystrybucji certyfikatów,</w:t>
      </w:r>
    </w:p>
    <w:p>
      <w:pPr>
        <w:pStyle w:val="ListParagraph"/>
        <w:numPr>
          <w:ilvl w:val="0"/>
          <w:numId w:val="29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Omówienie trybów pracy urządzenia – Proxy i Flow,</w:t>
      </w:r>
    </w:p>
    <w:p>
      <w:pPr>
        <w:pStyle w:val="ListParagraph"/>
        <w:numPr>
          <w:ilvl w:val="0"/>
          <w:numId w:val="29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Logowanie i powiadomienia,</w:t>
      </w:r>
    </w:p>
    <w:p>
      <w:pPr>
        <w:pStyle w:val="ListParagraph"/>
        <w:numPr>
          <w:ilvl w:val="0"/>
          <w:numId w:val="29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Korzystanie z FortiCloud,</w:t>
      </w:r>
    </w:p>
    <w:p>
      <w:pPr>
        <w:pStyle w:val="ListParagraph"/>
        <w:numPr>
          <w:ilvl w:val="0"/>
          <w:numId w:val="29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FortiView,</w:t>
      </w:r>
    </w:p>
    <w:p>
      <w:pPr>
        <w:pStyle w:val="ListParagraph"/>
        <w:numPr>
          <w:ilvl w:val="0"/>
          <w:numId w:val="29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Wprowadzenie do Security Fabric,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Fabric Connectors,</w:t>
      </w:r>
    </w:p>
    <w:p>
      <w:pPr>
        <w:pStyle w:val="ListParagraph"/>
        <w:numPr>
          <w:ilvl w:val="0"/>
          <w:numId w:val="30"/>
        </w:numPr>
        <w:tabs>
          <w:tab w:val="clear" w:pos="397"/>
          <w:tab w:val="left" w:pos="284" w:leader="none"/>
        </w:tabs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Konfiguracja funkcji ochronnych (profile bezpieczeństwa):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Ochrona antywirusowa i integracja z FortiSandbox,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Content Disarm and Reconstruction,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Filtrowanie antyspamowe,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System IPS / DoS Policy,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Kontrola ruchu WWW / blokowanie URL / DNS Filter,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Kontrola aplikacji,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Reputacja klienta,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Data Leakage Prevention (DLP),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Web Application Firewall (WAF),</w:t>
      </w:r>
    </w:p>
    <w:p>
      <w:pPr>
        <w:pStyle w:val="ListParagraph"/>
        <w:numPr>
          <w:ilvl w:val="0"/>
          <w:numId w:val="30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Optymalizacja ruchu sieciowego (kształtowanie pasma),</w:t>
      </w:r>
    </w:p>
    <w:p>
      <w:pPr>
        <w:pStyle w:val="ListParagraph"/>
        <w:numPr>
          <w:ilvl w:val="0"/>
          <w:numId w:val="30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Konfiguracja połączeń SSL VPN,</w:t>
      </w:r>
    </w:p>
    <w:p>
      <w:pPr>
        <w:pStyle w:val="ListParagraph"/>
        <w:numPr>
          <w:ilvl w:val="0"/>
          <w:numId w:val="30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Konserwacja i bieżąca obsługa systemu.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Zadanie 2: Szkolenie FORTIGATE – ZAAWANSOWANA KONFIGURACJA URZĄDZENIA.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Opis szkolenia: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Szkolenie 3 dniowe dla 1 osoby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Program szkolenia:</w:t>
      </w:r>
    </w:p>
    <w:p>
      <w:pPr>
        <w:pStyle w:val="ListParagraph"/>
        <w:numPr>
          <w:ilvl w:val="0"/>
          <w:numId w:val="31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Architektura urządzenia,</w:t>
      </w:r>
    </w:p>
    <w:p>
      <w:pPr>
        <w:pStyle w:val="ListParagraph"/>
        <w:numPr>
          <w:ilvl w:val="0"/>
          <w:numId w:val="31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VDOM - Wirtualizacja w obrębie urządzenia: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Wykorzystanie trybów pracy NAT / Transparent,</w:t>
      </w:r>
    </w:p>
    <w:p>
      <w:pPr>
        <w:pStyle w:val="ListParagraph"/>
        <w:numPr>
          <w:ilvl w:val="0"/>
          <w:numId w:val="32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Zaawansowana konfiguracja sieci i routingu: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Tworzenie sieci VLAN,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Routing dynamiczny,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Pojęcie Policy Routingu,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SD-WAN - Load Balancing oraz redundancja łącz Internetowych,</w:t>
      </w:r>
    </w:p>
    <w:p>
      <w:pPr>
        <w:pStyle w:val="ListParagraph"/>
        <w:numPr>
          <w:ilvl w:val="0"/>
          <w:numId w:val="32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Uwierzytelnianie użytkowników: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Integracja z usługami katalogowymi – FSSO: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Tworzenie reguł firewall w oparciu o grupy użytkowników,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Konta użytkowników gości,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Dwuskładnikowa autoryzacja – FortiToken,</w:t>
      </w:r>
    </w:p>
    <w:p>
      <w:pPr>
        <w:pStyle w:val="ListParagraph"/>
        <w:numPr>
          <w:ilvl w:val="0"/>
          <w:numId w:val="33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Identyfikacja urządzeń </w:t>
      </w:r>
    </w:p>
    <w:p>
      <w:pPr>
        <w:pStyle w:val="ListParagraph"/>
        <w:numPr>
          <w:ilvl w:val="0"/>
          <w:numId w:val="33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Endpoint Control: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Integracja z aplikacją FortiClient</w:t>
      </w:r>
    </w:p>
    <w:p>
      <w:pPr>
        <w:pStyle w:val="ListParagraph"/>
        <w:numPr>
          <w:ilvl w:val="0"/>
          <w:numId w:val="33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Cooperative Security Fabric,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Integracja urządzeń z portfolio Fortinet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Automatyzacja</w:t>
      </w:r>
    </w:p>
    <w:p>
      <w:pPr>
        <w:pStyle w:val="ListParagraph"/>
        <w:numPr>
          <w:ilvl w:val="0"/>
          <w:numId w:val="34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Wirtualne sieci prywatne - VPN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IPSec VPN site-to-site, client-to-site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VXLAN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ADVPN</w:t>
      </w:r>
    </w:p>
    <w:p>
      <w:pPr>
        <w:pStyle w:val="ListParagraph"/>
        <w:numPr>
          <w:ilvl w:val="0"/>
          <w:numId w:val="34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Diagnostyka i rozwiązywanie problemów</w:t>
      </w:r>
    </w:p>
    <w:p>
      <w:pPr>
        <w:pStyle w:val="ListParagraph"/>
        <w:numPr>
          <w:ilvl w:val="0"/>
          <w:numId w:val="34"/>
        </w:numPr>
        <w:spacing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Konfiguracja urządzeń do pracy w klastrze HA</w:t>
      </w:r>
    </w:p>
    <w:p>
      <w:pPr>
        <w:pStyle w:val="Normal"/>
        <w:tabs>
          <w:tab w:val="clear" w:pos="397"/>
          <w:tab w:val="left" w:pos="284" w:leader="none"/>
        </w:tabs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Tryby pracy klastra</w:t>
      </w:r>
    </w:p>
    <w:p>
      <w:pPr>
        <w:pStyle w:val="Normal"/>
        <w:tabs>
          <w:tab w:val="clear" w:pos="397"/>
          <w:tab w:val="left" w:pos="284" w:leader="none"/>
        </w:tabs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Topologia połączeń i konfiguracja urządzeń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WARUNKI REALIZACJI ZAMÓWIENIA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Informacje ogólne związane z realizacją szkoleń.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Miejsce realizacji szkoleń: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Dopuszcza się możliwość przeprowadzenia szkoleń zarówno w formie stacjonarnej, jak i w formie online z wykorzystanie platformy do wideokonferencji (np. Microsoft Teams, Zoom, Google Meet lub równoważnej);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Termin realizacji: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Termin realizacji zadania: </w:t>
      </w:r>
      <w:r>
        <w:rPr>
          <w:rFonts w:cs="Times New Roman" w:ascii="Times New Roman" w:hAnsi="Times New Roman"/>
          <w:b/>
        </w:rPr>
        <w:t>najpóźniej do 30 kwietnia 2026 r.</w:t>
      </w:r>
      <w:r>
        <w:rPr>
          <w:rFonts w:cs="Times New Roman" w:ascii="Times New Roman" w:hAnsi="Times New Roman"/>
        </w:rPr>
        <w:t>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Forma realizacji szkoleń: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Szkolenie powinno prowadzone w formie warsztatowej (praktycznej) z dostępem do środowiska testowego.  Po każdym bloku teoretycznym Wykonawca przeprowadzi demonstrację oraz ćwiczenia praktyczne wykonywane przez uczestników;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Możliwość zadawania pytań i konsultacji z trenerem podczas ćwiczeń;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Szkolenie prowadzone w języku polskim w godzinach pracy urzędu (7:30-14:30);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Materiały szkoleniowe powinny być dostarczone w formie elektronicznej lub drukowanej;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Zamawiający wymaga, żeby nie później niż </w:t>
      </w:r>
      <w:r>
        <w:rPr>
          <w:rFonts w:cs="Times New Roman" w:ascii="Times New Roman" w:hAnsi="Times New Roman"/>
        </w:rPr>
        <w:t>5</w:t>
      </w:r>
      <w:r>
        <w:rPr>
          <w:rFonts w:cs="Times New Roman" w:ascii="Times New Roman" w:hAnsi="Times New Roman"/>
        </w:rPr>
        <w:t xml:space="preserve"> dni przed planowanym terminem rozpoczęcia szkoleń Wykonawca przedstawił zakres merytoryczny/program i harmonogram szkoleń wraz z wykazem osób wskazanych do jego realizacji;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Konkretne terminy szkoleń dla poszczególnych grup Wykonawca będzie ustalał z Zamawiającym po podpisaniu umowy;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Przed podpisaniem umowy Wykonawca zobowiązany będzie do złożenia oświadczenia w zakresie spełniania wymogów dotyczących ochrony danych osobowych;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Wykonawca przy wykonaniu przedmiotu zamówienia zobowiązany jest spełnić warunki służące zapewnieniu dostępności osobom ze szczególnymi potrzebami, z uwzględnieniem minimalnych wymagań określonych w art. 6 ustawy z dnia 19 lipca 2019 r. o zapewnianiu dostępności osobom ze szczególnymi potrzebami.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Kadra trenerska: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Trenerzy muszą posiadać własny sprzęt komputerowy umożliwiający przeprowadzenie szkolenia;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Zamawiający nie ponosi kosztów dojazdu, zakwaterowania oraz wyżywienia kadry trenerskiej (o ile dotyczy);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Materiały szkoleniowe i dokumentacja: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Materiały szkoleniowe tj. prezentacje, mat. drukowane (w tym także uzyskane przez uczestników szkolenia zaświadcenia/certyfikaty) muszą być odpowiednio oznakowane i oznaczone informacją o finansowaniu przedmiotu zamówienia ze środków Funduszy Europejskich na Rozwój Cyfrowy 2021-2027 (FERC), zgodnie z Regulaminem Konkursu Grantowego „Cyberbezpieczny Samorząd”. Obowiązujące logotypy zostały opublikowane w:  Cyberbezpieczny Samorząd - Centrum Projektów Polska Cyfrowa - Portal Gov.pl (www.gov.pl) Materiały reklamowe do pobrania / Logotypy Cyberbezpieczny Samorząd - kolorowy + logo CPPC;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Do obowiązków Wykonawcy należy także przedłożenie Zamawiającemu programu szkolenia, listy obecności, a w przypadku szkoleń online – raportu z platformy szkoleniowej, potwierdzającego listę uczestników szkolenia, kopie zaświadczeń/certyfikatów uzyskanych przez uczestników szkolenia wraz z potwierdzeniem ich przekazania uczestnikom szkolenia;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Podczas szkolenia muszą zostać zachowane zasady równości szans i niedyskryminacji, w tym dostępność dla osób z niepełnosprawnościami oraz równości kobiet i mężczyzn. Dostarczane materiały szkoleniowe muszą być zgodne z zasadami uniwersalnego projektowania oraz standardami równościowymi, w szczególności ze standardem cyfrowym. W zależności od potrzeb uczestników szkolenia, Wykonawca będzie musiał zapewnić materiały szkoleniowe z większym rozmiarem czcionki, odpowiednim dla osób słabowidzących (w przypadku materiałów drukowanych) lub z możliwością powiększania czcionki (w przypadku materiałów elektronicznych). W ramach grup szkoleniowych przewidziana jest równa dostępność dla kobiet i mężczyzn oraz osób niepełnosprawnych;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Zamawiający zwraca uwagę, że szkolenia będące przedmiotem zamówienia mają charakter kształcenia zawodowego i są finansowane w całości ze środków publicznych, w związku z czym są one zwolnione z podatku od towarów i usług na podstawie §3 ust. 1 pkt 14 rozporządzenia Ministra Finansów z dnia 20 grudnia 2013 roku w sprawie zwolnień od podatku towarów i usług oraz warunków stosowania tych zwolnień (t.j. Dz.U.2025.832).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spacing w:lineRule="auto" w:line="360"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WARUNKI PŁATNOŚCI</w:t>
      </w:r>
    </w:p>
    <w:p>
      <w:pPr>
        <w:pStyle w:val="ListParagraph"/>
        <w:numPr>
          <w:ilvl w:val="0"/>
          <w:numId w:val="6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Płatność po wykonaniu każdej z części zamówienia oraz dostarczeniu pełnej dokumentacji, o której mowa w opisie przedmiotu zamówienia.</w:t>
      </w:r>
    </w:p>
    <w:p>
      <w:pPr>
        <w:pStyle w:val="ListParagraph"/>
        <w:numPr>
          <w:ilvl w:val="0"/>
          <w:numId w:val="6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płatności – 14 dni od dnia dostarczenia do siedziby Zamawiającego poprawnie wystawionej faktury VAT.</w:t>
      </w:r>
    </w:p>
    <w:p>
      <w:pPr>
        <w:pStyle w:val="ListParagraph"/>
        <w:numPr>
          <w:ilvl w:val="0"/>
          <w:numId w:val="6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Zamawiający oświadcza, że wyraża zgodę na przesłanie drogą elektroniczną faktury, faktury korygującej, jak również duplikatu tych faktur wystawionych przez Wykonawcę zgodnie z powszechnie obowiązującymi przepisami, w formacie PDF, na adres e-mail: </w:t>
      </w:r>
      <w:hyperlink r:id="rId4">
        <w:r>
          <w:rPr>
            <w:rStyle w:val="Hyperlink"/>
            <w:rFonts w:cs="Times New Roman" w:ascii="Times New Roman" w:hAnsi="Times New Roman"/>
          </w:rPr>
          <w:t>sekretariat@um.tczew.pl</w:t>
        </w:r>
      </w:hyperlink>
    </w:p>
    <w:p>
      <w:pPr>
        <w:pStyle w:val="Normal"/>
        <w:spacing w:before="0" w:after="0"/>
        <w:ind w:left="6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WARUNKI UDZIAŁU W POSTĘPOWANIU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 udzielenie zamówienia mogą ubiegać się Wykonawcy nie podlegający wykluczeniu i spełniający poniższe warunki udziału w postępowaniu, dotyczące zdolności technicznej lub zawodowej: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  <w:t>Dotyczy części zamówienia 1-</w:t>
      </w:r>
      <w:r>
        <w:rPr>
          <w:rFonts w:cs="Times New Roman" w:ascii="Times New Roman" w:hAnsi="Times New Roman"/>
          <w:b/>
          <w:u w:val="single"/>
        </w:rPr>
        <w:t>4</w:t>
      </w:r>
      <w:r>
        <w:rPr>
          <w:rFonts w:cs="Times New Roman" w:ascii="Times New Roman" w:hAnsi="Times New Roman"/>
          <w:b/>
          <w:u w:val="single"/>
        </w:rPr>
        <w:t>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Wykonawca </w:t>
      </w:r>
      <w:r>
        <w:rPr>
          <w:rFonts w:cs="Times New Roman" w:ascii="Times New Roman" w:hAnsi="Times New Roman"/>
          <w:b/>
        </w:rPr>
        <w:t>w okresie ostatniego roku</w:t>
      </w:r>
      <w:r>
        <w:rPr>
          <w:rFonts w:cs="Times New Roman" w:ascii="Times New Roman" w:hAnsi="Times New Roman"/>
        </w:rPr>
        <w:t xml:space="preserve"> przed terminem składania ofert, wykonał: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co najmniej 3 zamówienia</w:t>
      </w:r>
      <w:r>
        <w:rPr>
          <w:rFonts w:cs="Times New Roman" w:ascii="Times New Roman" w:hAnsi="Times New Roman"/>
        </w:rPr>
        <w:t xml:space="preserve"> polegające na przeprowadzeniu szkoleń w zakresie zgodnym z częścią zamówienia, na którą składa ofertę w jednostkach samorządu terytorialnego (JST). Na potwierdzenie spełnienia ww. warunku Wykonawca zobowiązany jest przedstawić: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wykaz usług zrealizowanych w okresie ostatnich roku przed upływem terminu składania ofert - wzór wykazu usług stanowi </w:t>
      </w:r>
      <w:r>
        <w:rPr>
          <w:rFonts w:cs="Times New Roman" w:ascii="Times New Roman" w:hAnsi="Times New Roman"/>
          <w:b/>
          <w:u w:val="single"/>
        </w:rPr>
        <w:t>załącznik nr 3</w:t>
      </w:r>
      <w:r>
        <w:rPr>
          <w:rFonts w:cs="Times New Roman" w:ascii="Times New Roman" w:hAnsi="Times New Roman"/>
        </w:rPr>
        <w:t xml:space="preserve"> do niniejszego zapytania ofertowego;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Wykonawca dysponuje lub będzie dysponować co najmniej 1 trenerem, posiadającym: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co najmniej 2 letnie doświadczenie</w:t>
      </w:r>
      <w:r>
        <w:rPr>
          <w:rFonts w:cs="Times New Roman" w:ascii="Times New Roman" w:hAnsi="Times New Roman"/>
        </w:rPr>
        <w:t xml:space="preserve"> w opracowywaniu i prowadzeniu szkoleń dla JST w zakresie zgodnym z częścią zamówienia, na która składa ofertę</w:t>
      </w:r>
      <w:r>
        <w:rPr>
          <w:rFonts w:cs="Times New Roman" w:ascii="Times New Roman" w:hAnsi="Times New Roman"/>
          <w:color w:val="FF0000"/>
        </w:rPr>
        <w:t xml:space="preserve"> </w:t>
      </w:r>
      <w:r>
        <w:rPr>
          <w:rFonts w:cs="Times New Roman" w:ascii="Times New Roman" w:hAnsi="Times New Roman"/>
        </w:rPr>
        <w:t xml:space="preserve">oraz </w:t>
      </w:r>
      <w:r>
        <w:rPr>
          <w:rFonts w:cs="Times New Roman" w:ascii="Times New Roman" w:hAnsi="Times New Roman"/>
          <w:b/>
        </w:rPr>
        <w:t>który przeprowadził w okresie 2 lat</w:t>
      </w:r>
      <w:r>
        <w:rPr>
          <w:rFonts w:cs="Times New Roman" w:ascii="Times New Roman" w:hAnsi="Times New Roman"/>
        </w:rPr>
        <w:t xml:space="preserve"> przed terminem składania ofert </w:t>
      </w:r>
      <w:r>
        <w:rPr>
          <w:rFonts w:cs="Times New Roman" w:ascii="Times New Roman" w:hAnsi="Times New Roman"/>
          <w:b/>
        </w:rPr>
        <w:t>przynajmniej 40 godzin</w:t>
      </w:r>
      <w:r>
        <w:rPr>
          <w:rFonts w:cs="Times New Roman" w:ascii="Times New Roman" w:hAnsi="Times New Roman"/>
        </w:rPr>
        <w:t xml:space="preserve"> szkoleniowych w JST z zakresie zgodnym z częścią zamówienia, na która składa ofertę. Na potwierdzenie spełnienia ww. warunku Wykonawca zobowiązany jest przedstawić:</w:t>
      </w:r>
    </w:p>
    <w:p>
      <w:pPr>
        <w:pStyle w:val="ListParagraph"/>
        <w:numPr>
          <w:ilvl w:val="0"/>
          <w:numId w:val="28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wykaz osób przeznaczonych do realizacji zamówienia publicznego, wraz z informacjami na temat ich kwalifikacji zawodowych, uprawnień i doświadczenia niezbędnego do wykonania zamówienia – wzór wykazu osób stanowi </w:t>
      </w:r>
      <w:r>
        <w:rPr>
          <w:rFonts w:cs="Times New Roman" w:ascii="Times New Roman" w:hAnsi="Times New Roman"/>
          <w:b/>
          <w:u w:val="single"/>
        </w:rPr>
        <w:t>załącznik nr 4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do niniejszego zapytania ofertowego.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Oferty Wykonawców nie spełniających ww. warunków nie będą rozpatrywane. Zamawiający nie przewiduje wezwania do złożenia lub uzupełnienia ww. dokumentów, jeżeli Wykonawca ich nie złoży lub złożone dokumenty będą niekompletne.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WYKLUCZENIE Z UDZIAŁU W POSTĘPOWANIU</w:t>
      </w:r>
    </w:p>
    <w:p>
      <w:pPr>
        <w:pStyle w:val="ListParagraph"/>
        <w:numPr>
          <w:ilvl w:val="0"/>
          <w:numId w:val="7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 udzielenie zamówienia nie może ubiegać się Wykonawca w stosunku do którego zachodzi którakolwiek z okoliczności, o których mowa w art. 7 ust. 1 ustawy z dnia 13 kwietnia 2022 r. o szczególnych rozwiązaniach w zakresie przeciwdziałania wspieraniu agresji na Ukrainę oraz służących ochronie bezpieczeństwa narodowego (Dz. U. z 2023 r. poz. 1497 z późn. zm.);</w:t>
      </w:r>
    </w:p>
    <w:p>
      <w:pPr>
        <w:pStyle w:val="ListParagraph"/>
        <w:numPr>
          <w:ilvl w:val="0"/>
          <w:numId w:val="7"/>
        </w:numPr>
        <w:spacing w:before="0" w:after="0"/>
        <w:ind w:hanging="360"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wykluczy z postępowania Wykonawcę, który jest powiązany z Zamawiającym osobowo lub kapitałowo. Przez powiązania kapitałowe lub osobowe rozumie się wzajemne powiązania między Zamawiającym lub osobami upoważnionymi do zaciągania zobowiązań w imieniu Zamawiającego lub osobami wykonującymi w imieniu Zamawiającego czynności związane z przygotowaniem i przeprowadzeniem procedury wyboru Wykonawcy a Wykonawcą, polegające w szczególności na:</w:t>
      </w:r>
    </w:p>
    <w:p>
      <w:pPr>
        <w:pStyle w:val="ListParagraph"/>
        <w:spacing w:before="0" w:after="0"/>
        <w:ind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a) uczestniczeniu w spółce, jako wspólnik spółki cywilnej lub spółki osobowej,</w:t>
      </w:r>
    </w:p>
    <w:p>
      <w:pPr>
        <w:pStyle w:val="ListParagraph"/>
        <w:spacing w:before="0" w:after="0"/>
        <w:ind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b) posiadaniu co najmniej 10% udziałów lub akcji,</w:t>
      </w:r>
    </w:p>
    <w:p>
      <w:pPr>
        <w:pStyle w:val="ListParagraph"/>
        <w:spacing w:before="0" w:after="0"/>
        <w:ind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c) pełnieniu funkcji członka organu nadzorczego lub zarządzającego, prokurenta, pełnomocnika,</w:t>
      </w:r>
    </w:p>
    <w:p>
      <w:pPr>
        <w:pStyle w:val="ListParagraph"/>
        <w:spacing w:before="0" w:after="0"/>
        <w:ind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>
      <w:pPr>
        <w:pStyle w:val="ListParagraph"/>
        <w:spacing w:before="0" w:after="0"/>
        <w:ind w:left="426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SPOSÓB PRZYGOTOWANIA OFERTY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Ofertę należy sporządzić na formularzu ofertowym stanowiącym </w:t>
      </w:r>
      <w:r>
        <w:rPr>
          <w:rFonts w:cs="Times New Roman" w:ascii="Times New Roman" w:hAnsi="Times New Roman"/>
          <w:b/>
          <w:u w:val="single"/>
        </w:rPr>
        <w:t>załącznik nr 1</w:t>
      </w:r>
      <w:r>
        <w:rPr>
          <w:rFonts w:cs="Times New Roman" w:ascii="Times New Roman" w:hAnsi="Times New Roman"/>
        </w:rPr>
        <w:t xml:space="preserve"> do niniejszego zapytania ofertowego.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Do oferty musi zostać załączone: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a) Oświadczenie o braku powiązań z Zamawiającym i braku podstaw do wykluczenia stanowiący </w:t>
      </w:r>
      <w:r>
        <w:rPr>
          <w:rFonts w:cs="Times New Roman" w:ascii="Times New Roman" w:hAnsi="Times New Roman"/>
          <w:b/>
          <w:u w:val="single"/>
        </w:rPr>
        <w:t>załącznik nr 2</w:t>
      </w:r>
      <w:r>
        <w:rPr>
          <w:rFonts w:cs="Times New Roman" w:ascii="Times New Roman" w:hAnsi="Times New Roman"/>
        </w:rPr>
        <w:t xml:space="preserve"> do niniejszego zapytania.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b) Wykaz usług stanowiący </w:t>
      </w:r>
      <w:r>
        <w:rPr>
          <w:rFonts w:cs="Times New Roman" w:ascii="Times New Roman" w:hAnsi="Times New Roman"/>
          <w:b/>
          <w:u w:val="single"/>
        </w:rPr>
        <w:t>załącznik nr 3</w:t>
      </w:r>
      <w:r>
        <w:rPr>
          <w:rFonts w:cs="Times New Roman" w:ascii="Times New Roman" w:hAnsi="Times New Roman"/>
        </w:rPr>
        <w:t xml:space="preserve"> do niniejszego zapytania ofertowego oraz wykaz osób przeznaczonych do realizacji zamówienia stanowiący </w:t>
      </w:r>
      <w:r>
        <w:rPr>
          <w:rFonts w:cs="Times New Roman" w:ascii="Times New Roman" w:hAnsi="Times New Roman"/>
          <w:b/>
          <w:u w:val="single"/>
        </w:rPr>
        <w:t>załącznik nr 4.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Cena oferty musi być ceną ryczałtową, obejmować dowolną liczbę części zamówienia w całości i być podana w złotych polskich. Cena musi być rozbita na kwoty cząstkowe stanowiące wynagrodzenie za realizację poszczególnych części zamówienia w przypadków złożenia oferty na więcej niż jedną część zamówienia.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Oferta winna być podpisana przez osobę/y upoważnione do reprezentowania Wykonawcy.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Ofertę należy podpisać podpisem elektronicznym weryfikowanym za pomocą ważnego kwalifikowanego certyfikatu, podpisem zaufanym lub podpisem osobistym.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Wszelkie dokumenty w postaci papierowej (o ile dotyczy) muszą zostać dostarczone w postaci kopii (skanów) potwierdzonych przez Wykonawcę za zgodność z oryginałem za pomocą podpisu elektronicznego weryfikowanego za pomocą ważnego kwalifikowanego certyfikatu, podpisu zaufanego lub podpisu osobistego. Dokumenty sporządzone w postaci elektronicznej muszą zostać dostarczone z oryginalnymi podpisami elektronicznymi, którymi zostały opatrzone.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Oferta winna być sporządzona w języku polskim pod rygorem nieważności. Dokumenty sporządzone w języku obcym są składane wraz z tłumaczeniem przysięgłym na język polski.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 ma prawo złożyć tylko 1 ofertę na daną część zamówienia. Złożenie przez Wykonawcę więcej niż 1 oferty na daną część zamówienia, skutkuje odrzuceniem wszystkich ofert złożonych przez tego Wykonawcę.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Wszelkie koszty przygotowania oferty ponosi Wykonawca.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Nie przewiduje się zwrotu kosztów udziału w postępowaniu.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Termin związania ofertą wynosi 30 dni.</w:t>
      </w:r>
    </w:p>
    <w:p>
      <w:pPr>
        <w:pStyle w:val="ListParagraph"/>
        <w:numPr>
          <w:ilvl w:val="0"/>
          <w:numId w:val="8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 informuje Zamawiającego o informacjach zawartych w ofercie stanowiących tajemnicę przedsiębiorstwa.</w:t>
      </w:r>
    </w:p>
    <w:p>
      <w:pPr>
        <w:pStyle w:val="ListParagraph"/>
        <w:spacing w:before="0" w:after="0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MIEJSCE I TERMIN SKŁADANIA OFERT:</w:t>
      </w:r>
    </w:p>
    <w:p>
      <w:pPr>
        <w:pStyle w:val="ListParagraph"/>
        <w:numPr>
          <w:ilvl w:val="0"/>
          <w:numId w:val="9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  <w:b/>
          <w:u w:val="single"/>
        </w:rPr>
      </w:pPr>
      <w:r>
        <w:rPr>
          <w:rFonts w:cs="Times New Roman" w:ascii="Times New Roman" w:hAnsi="Times New Roman"/>
        </w:rPr>
        <w:t xml:space="preserve">Ofertę wraz z załącznikami należy złożyć za pośrednictwem portalu Baza Konkurencyjności – https://bazakonkurencyjnosci.funduszeeuropejskie.gov.pl </w:t>
      </w:r>
      <w:r>
        <w:rPr>
          <w:rFonts w:cs="Times New Roman" w:ascii="Times New Roman" w:hAnsi="Times New Roman"/>
          <w:b/>
          <w:u w:val="single"/>
        </w:rPr>
        <w:t>w terminie do dnia 23.12.2025 r. do godziny 10:00.</w:t>
      </w:r>
    </w:p>
    <w:p>
      <w:pPr>
        <w:pStyle w:val="ListParagraph"/>
        <w:numPr>
          <w:ilvl w:val="0"/>
          <w:numId w:val="9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 terminowym złożeniu oferty decyduje data złożenia oferty za pośrednictwem portalu Baza Konkurencyjności.</w:t>
      </w:r>
    </w:p>
    <w:p>
      <w:pPr>
        <w:pStyle w:val="ListParagraph"/>
        <w:numPr>
          <w:ilvl w:val="0"/>
          <w:numId w:val="9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odrzuci ofertę złożoną po terminie składania ofert.</w:t>
      </w:r>
    </w:p>
    <w:p>
      <w:pPr>
        <w:pStyle w:val="ListParagraph"/>
        <w:numPr>
          <w:ilvl w:val="0"/>
          <w:numId w:val="9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Ofertę wraz z załącznikami składa się, pod rygorem nieważności, w postaci elektronicznej podpisanej kwalifikowanym podpisem elektronicznym, podpisem zaufanym lub podpisem osobistym przez osobę/y upoważnioną/e do reprezentowania wykonawcy. Brak podpisu/ów w wymieniony sposób będzie skutkował odrzuceniem oferty.</w:t>
      </w:r>
    </w:p>
    <w:p>
      <w:pPr>
        <w:pStyle w:val="ListParagraph"/>
        <w:numPr>
          <w:ilvl w:val="0"/>
          <w:numId w:val="9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nie dopuszcza innej formy i sposobu składania ofert niż za pośrednictwem portalu Baza Konkurencyjności. Niespełnienie tego wymogu oznacza niezgodność oferty z Zapytaniem. Oferty złożone w inny sposób zostaną odrzucone przez Zamawiającego.</w:t>
      </w:r>
    </w:p>
    <w:p>
      <w:pPr>
        <w:pStyle w:val="ListParagraph"/>
        <w:spacing w:before="0" w:after="0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KRYTERIA WYBORU OFERTY</w:t>
      </w:r>
    </w:p>
    <w:p>
      <w:pPr>
        <w:pStyle w:val="ListParagraph"/>
        <w:numPr>
          <w:ilvl w:val="0"/>
          <w:numId w:val="10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Przy wyborze oferty Zamawiający będzie się kierował następującym kryterium:</w:t>
      </w:r>
    </w:p>
    <w:p>
      <w:pPr>
        <w:pStyle w:val="Normal"/>
        <w:spacing w:before="0" w:after="0"/>
        <w:ind w:firstLine="113" w:left="1872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cena brutto – 100%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Wybrana zostanie oferta z największą ilością punktów spośród ofert nieodrzuconych, obliczoną zgodnie z poniżej określonym wzorem:</w:t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284"/>
        <w:jc w:val="both"/>
        <w:rPr>
          <w:rFonts w:ascii="Times New Roman" w:hAnsi="Times New Roman" w:cs="Times New Roman"/>
        </w:rPr>
      </w:pPr>
      <w:r>
        <w:rPr/>
        <w:drawing>
          <wp:inline distT="0" distB="0" distL="0" distR="0">
            <wp:extent cx="3077210" cy="365760"/>
            <wp:effectExtent l="0" t="0" r="0" b="0"/>
            <wp:docPr id="1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0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sytuacji gdy cena najkorzystniejszej oferty będzie znacząco przewyższała środki zabezpieczone przez Zamawiającego w budżecie, Zamawiający zastrzega sobie możliwość przeprowadzenia dodatkowych negocjacji z Wykonawcą, który złoży najkorzystniejszą ofertę.</w:t>
      </w:r>
    </w:p>
    <w:p>
      <w:pPr>
        <w:pStyle w:val="ListParagraph"/>
        <w:numPr>
          <w:ilvl w:val="0"/>
          <w:numId w:val="10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przypadku gdy wybrany Wykonawca odstąpi od podpisania umowy z Zamawiającym, możliwe jest podpisanie przez Zamawiającego umowy z kolejnym Wykonawcą, który w postępowaniu uzyskał kolejną najwyższą liczbę punktów.</w:t>
      </w:r>
    </w:p>
    <w:p>
      <w:pPr>
        <w:pStyle w:val="ListParagraph"/>
        <w:numPr>
          <w:ilvl w:val="0"/>
          <w:numId w:val="10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może w toku badania i oceny ofert żądać od Oferentów dodatkowych wyjaśnień dotyczących treści złożonych ofert.</w:t>
      </w:r>
    </w:p>
    <w:p>
      <w:pPr>
        <w:pStyle w:val="ListParagraph"/>
        <w:numPr>
          <w:ilvl w:val="0"/>
          <w:numId w:val="10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wyjaśni i poprawi w formularzu ofertowym:</w:t>
      </w:r>
    </w:p>
    <w:p>
      <w:pPr>
        <w:pStyle w:val="ListParagraph"/>
        <w:spacing w:before="0" w:after="0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oczywiste omyłki pisarskie,</w:t>
      </w:r>
    </w:p>
    <w:p>
      <w:pPr>
        <w:pStyle w:val="ListParagraph"/>
        <w:spacing w:before="0" w:after="0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-oczywiste omyłki rachunkowe, z uwzględnieniem konsekwencji rachunkowych dokonanych poprawek,</w:t>
      </w:r>
    </w:p>
    <w:p>
      <w:pPr>
        <w:pStyle w:val="ListParagraph"/>
        <w:spacing w:before="0" w:after="0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inne omyłki polegające na niezgodności oferty z opisem zawartym w zapytaniu ofertowym niepowodujące istotnych zmian w treści oferty.</w:t>
      </w:r>
    </w:p>
    <w:p>
      <w:pPr>
        <w:pStyle w:val="ListParagraph"/>
        <w:numPr>
          <w:ilvl w:val="0"/>
          <w:numId w:val="10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Poprawienie przez Zamawiającego oczywistych omyłek pisarskich oraz rachunkowych i konsekwencji rachunkowych dokonanych poprawek nie wymaga uzyskania zgody wykonawcy. Wykonawca może nie wyrazić zgody na poprawienie przez zamawiającego innych omyłek polegających na niezgodności oferty z opisem zawartym w zapytaniu ofertowym niepowodujące istotnych zmian w treści oferty. Brak zgody Wykonawca musi wnieść na piśmie w wyznaczonym przez Zamawiającego terminie.</w:t>
      </w:r>
    </w:p>
    <w:p>
      <w:pPr>
        <w:pStyle w:val="ListParagraph"/>
        <w:numPr>
          <w:ilvl w:val="0"/>
          <w:numId w:val="10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zastrzega sobie prawo do unieważnienia postępowania bez dokonania wyboru żadnej z ofert, bez podania przyczyny, na każdym etapie prowadzonego postępowania. Z tytułu unieważnienia postępowania, Wykonawcy nie przysługuje żadne roszczenie wobec Zamawiającego.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KONTAKT Z ZAMAWIAJĄCYM</w:t>
      </w:r>
    </w:p>
    <w:p>
      <w:pPr>
        <w:pStyle w:val="ListParagraph"/>
        <w:numPr>
          <w:ilvl w:val="0"/>
          <w:numId w:val="11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Komunikacja w postępowaniu o udzielenie zamówienia, w tym składanie ofert, wymiana informacji między Zamawiającym a Wykonawcą oraz przekazywanie dokumentów i oświadczeń odbywa się pisemnie za pomocą portalu Bazy Konkurencyjności.</w:t>
      </w:r>
    </w:p>
    <w:p>
      <w:pPr>
        <w:pStyle w:val="ListParagraph"/>
        <w:numPr>
          <w:ilvl w:val="0"/>
          <w:numId w:val="11"/>
        </w:numPr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 stronie Zamawiającego osobą do kontaktów w sprawie zamówienia jest:</w:t>
      </w:r>
    </w:p>
    <w:p>
      <w:pPr>
        <w:pStyle w:val="Normal"/>
        <w:spacing w:before="0" w:after="0"/>
        <w:ind w:left="36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Adam Jagodda</w:t>
      </w:r>
    </w:p>
    <w:p>
      <w:pPr>
        <w:pStyle w:val="Normal"/>
        <w:spacing w:before="0" w:after="0"/>
        <w:ind w:left="36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Inspektor w Wydziale Rozwoju Miasta</w:t>
      </w:r>
    </w:p>
    <w:p>
      <w:pPr>
        <w:pStyle w:val="Normal"/>
        <w:spacing w:before="0" w:after="0"/>
        <w:ind w:left="36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tel.: +48 58 77 59 480</w:t>
      </w:r>
    </w:p>
    <w:p>
      <w:pPr>
        <w:pStyle w:val="Normal"/>
        <w:spacing w:before="0" w:after="0"/>
        <w:ind w:left="36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e-mail: </w:t>
      </w:r>
      <w:hyperlink r:id="rId6">
        <w:r>
          <w:rPr>
            <w:rStyle w:val="Hyperlink"/>
            <w:rFonts w:cs="Times New Roman" w:ascii="Times New Roman" w:hAnsi="Times New Roman"/>
            <w:b/>
          </w:rPr>
          <w:t>jagodda@um.tczew.pl</w:t>
        </w:r>
      </w:hyperlink>
    </w:p>
    <w:p>
      <w:pPr>
        <w:pStyle w:val="ListParagraph"/>
        <w:numPr>
          <w:ilvl w:val="0"/>
          <w:numId w:val="11"/>
        </w:numPr>
        <w:tabs>
          <w:tab w:val="clear" w:pos="397"/>
          <w:tab w:val="left" w:pos="284" w:leader="none"/>
        </w:tabs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Każdy wykonawca ma prawo zwrócić się do zamawiającego o wyjaśnienie treści zapytania ofertowego. Pytania wykonawców muszą być przekazane za pośrednictwem portalu Baza Konkurencyjności.</w:t>
      </w:r>
    </w:p>
    <w:p>
      <w:pPr>
        <w:pStyle w:val="ListParagraph"/>
        <w:numPr>
          <w:ilvl w:val="0"/>
          <w:numId w:val="11"/>
        </w:numPr>
        <w:tabs>
          <w:tab w:val="clear" w:pos="397"/>
          <w:tab w:val="left" w:pos="284" w:leader="none"/>
        </w:tabs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udzieli odpowiedzi najpóźniej na 2 dni przed upływem terminu składania ofert pod warunkiem, że wniosek o wyjaśnienie treści zapytania ofertowego wpłynął do zamawiającego nie później niż 4 dni przed upływem terminu składania ofert.</w:t>
      </w:r>
    </w:p>
    <w:p>
      <w:pPr>
        <w:pStyle w:val="ListParagraph"/>
        <w:numPr>
          <w:ilvl w:val="0"/>
          <w:numId w:val="11"/>
        </w:numPr>
        <w:tabs>
          <w:tab w:val="clear" w:pos="397"/>
          <w:tab w:val="left" w:pos="284" w:leader="none"/>
        </w:tabs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Jeżeli zamawiający nie udzieli wyjaśnień w terminie, o którym mowa w ust. 5, przedłuża termin składania ofert o czas niezbędny do zapoznania się wszystkich zainteresowanych wykonawców z wyjaśnieniami niezbędnymi do należytego przygotowania i złożenia oferty.</w:t>
      </w:r>
    </w:p>
    <w:p>
      <w:pPr>
        <w:pStyle w:val="ListParagraph"/>
        <w:numPr>
          <w:ilvl w:val="0"/>
          <w:numId w:val="11"/>
        </w:numPr>
        <w:tabs>
          <w:tab w:val="clear" w:pos="397"/>
          <w:tab w:val="left" w:pos="284" w:leader="none"/>
        </w:tabs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przypadku, gdy wniosek o wyjaśnienie treści zapytania ofertowego nie wpłynął w terminie, o którym mowa w ust. 5, zamawiający nie ma obowiązku udzielania wyjaśnień oraz obowiązku przedłużania terminu składania ofert.</w:t>
      </w:r>
    </w:p>
    <w:p>
      <w:pPr>
        <w:pStyle w:val="ListParagraph"/>
        <w:tabs>
          <w:tab w:val="clear" w:pos="397"/>
          <w:tab w:val="left" w:pos="284" w:leader="none"/>
        </w:tabs>
        <w:spacing w:before="0" w:after="0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tabs>
          <w:tab w:val="clear" w:pos="397"/>
          <w:tab w:val="left" w:pos="284" w:leader="none"/>
        </w:tabs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WYJAŚNIENIA ORAZ UZUPEŁNIENIA DO OFERTY</w:t>
      </w:r>
    </w:p>
    <w:p>
      <w:pPr>
        <w:pStyle w:val="ListParagraph"/>
        <w:numPr>
          <w:ilvl w:val="0"/>
          <w:numId w:val="12"/>
        </w:numPr>
        <w:tabs>
          <w:tab w:val="clear" w:pos="397"/>
          <w:tab w:val="left" w:pos="284" w:leader="none"/>
        </w:tabs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Wyjaśnienia oraz uzupełnienia do oferty.</w:t>
      </w:r>
    </w:p>
    <w:p>
      <w:pPr>
        <w:pStyle w:val="ListParagraph"/>
        <w:numPr>
          <w:ilvl w:val="0"/>
          <w:numId w:val="12"/>
        </w:numPr>
        <w:tabs>
          <w:tab w:val="clear" w:pos="397"/>
          <w:tab w:val="left" w:pos="284" w:leader="none"/>
        </w:tabs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toku badania ofert Zamawiający może żądać od Wykonawców wyjaśnień dotyczących treści złożonej oferty, treści oświadczeń, dokumentów, pełnomocnictw i ich uzupełnienia.</w:t>
      </w:r>
    </w:p>
    <w:p>
      <w:pPr>
        <w:pStyle w:val="ListParagraph"/>
        <w:numPr>
          <w:ilvl w:val="0"/>
          <w:numId w:val="12"/>
        </w:numPr>
        <w:tabs>
          <w:tab w:val="clear" w:pos="397"/>
          <w:tab w:val="left" w:pos="284" w:leader="none"/>
        </w:tabs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Jeżeli zaoferowana cena będzie rażąco niska w stosunku do przedmiotu zamówienia lub będzie budziła wątpliwości co do możliwości wykonania przedmiotu zamówienia zgodnie z wymaganiami określonymi przez Zamawiającego lub wynikającymi z odrębnych przepisów, Zamawiający zwróci się do wykonawcy o udzielenie wyjaśnień, w tym złożenie dowodów dotyczących wyliczenia ceny. Obowiązek wykazania, że oferta nie zawiera rażąco niskiej ceny lub kosztu będzie spoczywać na Wykonawcy.</w:t>
      </w:r>
    </w:p>
    <w:p>
      <w:pPr>
        <w:pStyle w:val="ListParagraph"/>
        <w:numPr>
          <w:ilvl w:val="0"/>
          <w:numId w:val="12"/>
        </w:numPr>
        <w:tabs>
          <w:tab w:val="clear" w:pos="397"/>
          <w:tab w:val="left" w:pos="284" w:leader="none"/>
        </w:tabs>
        <w:spacing w:before="0" w:after="0"/>
        <w:ind w:hanging="360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Zamawiający odrzuci ofertę Wykonawcy, który nie udzieli wyjaśnień, o których mowa powyżej lub jeżeli dokonana ocena tych wyjaśnień wraz ze złożonymi dowodami potwierdzi, że zawiera rażąco niską cenę w stosunku do przedmiotu zamówienia.</w:t>
      </w:r>
    </w:p>
    <w:p>
      <w:pPr>
        <w:pStyle w:val="ListParagraph"/>
        <w:tabs>
          <w:tab w:val="clear" w:pos="397"/>
          <w:tab w:val="left" w:pos="284" w:leader="none"/>
        </w:tabs>
        <w:spacing w:before="0" w:after="0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4"/>
        </w:numPr>
        <w:tabs>
          <w:tab w:val="clear" w:pos="397"/>
          <w:tab w:val="left" w:pos="284" w:leader="none"/>
        </w:tabs>
        <w:spacing w:before="0" w:after="0"/>
        <w:contextualSpacing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KLAUZULA INFORMACYJNA RODO</w:t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W celu wykonania obowiązku nałożonego w drodze art. 13 i 14 RODO, w związku z art. 88 ustawy wdrożeniowej, informujemy o zasadach przetwarzania Państwa danych osobowych.</w:t>
      </w:r>
    </w:p>
    <w:p>
      <w:pPr>
        <w:pStyle w:val="ListParagraph"/>
        <w:spacing w:lineRule="auto" w:line="240" w:before="0" w:after="0"/>
        <w:ind w:left="284"/>
        <w:contextualSpacing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0" w:left="284"/>
        <w:contextualSpacing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Odrębnymi administratorami Państwa danych są: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hanging="357" w:left="714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Minister Funduszy i Polityki Regionalnej (dalej jako MFiPR), w zakresie w jakim pełni funkcję Instytucji Zarządzającej (IZ) Funduszami Europejskimi na Rozwój Cyfrowy 2021-2027 (dalej jako FERC) z siedzibą przy ul. Wspólnej 2/4, 00-926 Warszawa,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hanging="357" w:left="714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Centrum Projektów Polska Cyfrowa (dalej jako CPPC) w zakresie w jakim pełni funkcje Instytucji Pośredniczącej (IP) FERC, z siedzibą przy ul. Spokojnej 13A, 01-044 Warszawa,</w:t>
      </w:r>
    </w:p>
    <w:p>
      <w:pPr>
        <w:pStyle w:val="Normal"/>
        <w:numPr>
          <w:ilvl w:val="0"/>
          <w:numId w:val="13"/>
        </w:numPr>
        <w:spacing w:lineRule="auto" w:line="240" w:before="0" w:after="0"/>
        <w:ind w:hanging="357" w:left="714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Centrum Projektów Polska Cyfrowa (dalej jako CPPC) w zakresie w jakim pełni funkcje Beneficjenta FERC, z siedzibą przy ul. Spokojnej 13A, 01-044 Warszawa.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Państwa dane osobowe będziemy przetwarzać w związku z realizacją FERC, w szczególności w związku z naborem 2.2 FERC. Podanie danych jest dobrowolne, ale konieczne do realizacji ww. celu. Odmowa ich podania jest równoznaczna z brakiem możliwości podjęcia stosownych działań.</w:t>
      </w:r>
    </w:p>
    <w:p>
      <w:pPr>
        <w:pStyle w:val="ListParagraph"/>
        <w:spacing w:lineRule="auto" w:line="240" w:before="0" w:after="0"/>
        <w:ind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1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Będziemy przetwarzać Państwa dane osobowe w związku z tym, że:</w:t>
      </w:r>
    </w:p>
    <w:p>
      <w:pPr>
        <w:pStyle w:val="Normal"/>
        <w:numPr>
          <w:ilvl w:val="0"/>
          <w:numId w:val="1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Zobowiązuje nas do tego prawo (art. 6 ust. 1 lit. c RODO):</w:t>
      </w:r>
    </w:p>
    <w:p>
      <w:pPr>
        <w:pStyle w:val="ListParagraph"/>
        <w:numPr>
          <w:ilvl w:val="1"/>
          <w:numId w:val="22"/>
        </w:numPr>
        <w:spacing w:lineRule="auto" w:line="240" w:before="0" w:after="0"/>
        <w:ind w:hanging="360" w:left="113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art. 87 ustawy wdrożeniowej,</w:t>
      </w:r>
    </w:p>
    <w:p>
      <w:pPr>
        <w:pStyle w:val="ListParagraph"/>
        <w:numPr>
          <w:ilvl w:val="1"/>
          <w:numId w:val="22"/>
        </w:numPr>
        <w:spacing w:lineRule="auto" w:line="240" w:before="0" w:after="0"/>
        <w:ind w:hanging="360" w:left="113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art. 61 ustawy z 28 kwietnia 2022 r. o zasadach realizacji zadań finansowanych ze środków europejskich w perspektywie finansowej 2021-2027 (Dz. U. z 2022 r. poz. 1079),</w:t>
      </w:r>
    </w:p>
    <w:p>
      <w:pPr>
        <w:pStyle w:val="ListParagraph"/>
        <w:numPr>
          <w:ilvl w:val="1"/>
          <w:numId w:val="22"/>
        </w:numPr>
        <w:spacing w:lineRule="auto" w:line="240" w:before="0" w:after="0"/>
        <w:ind w:hanging="360" w:left="113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ustawa z 14 czerwca 1960 r. - Kodeks postępowania administracyjnego (tekst jednolity Dz.U. z 2023 r. poz. 775 z późn. zm.),</w:t>
      </w:r>
    </w:p>
    <w:p>
      <w:pPr>
        <w:pStyle w:val="ListParagraph"/>
        <w:numPr>
          <w:ilvl w:val="1"/>
          <w:numId w:val="22"/>
        </w:numPr>
        <w:spacing w:lineRule="auto" w:line="240" w:before="0" w:after="0"/>
        <w:ind w:hanging="360" w:left="113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art. 206 ustawy z dnia 27 sierpnia 2009 r. o finansach publicznych (tekst jednolity Dz. U. z 2022 r. poz. 1634, z późn. zm.),</w:t>
      </w:r>
    </w:p>
    <w:p>
      <w:pPr>
        <w:pStyle w:val="ListParagraph"/>
        <w:numPr>
          <w:ilvl w:val="1"/>
          <w:numId w:val="22"/>
        </w:numPr>
        <w:spacing w:lineRule="auto" w:line="240" w:before="0" w:after="0"/>
        <w:ind w:hanging="360" w:left="113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Porozumienie trójstronne w sprawie systemu realizacji programu „Fundusze</w:t>
      </w:r>
    </w:p>
    <w:p>
      <w:pPr>
        <w:pStyle w:val="Normal"/>
        <w:spacing w:lineRule="auto" w:line="240" w:before="0" w:after="0"/>
        <w:ind w:left="709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Europejskie na Rozwój Cyfrowy 2021-2027” z 2.02.2023 r.,</w:t>
      </w:r>
    </w:p>
    <w:p>
      <w:pPr>
        <w:pStyle w:val="ListParagraph"/>
        <w:numPr>
          <w:ilvl w:val="0"/>
          <w:numId w:val="23"/>
        </w:numPr>
        <w:spacing w:lineRule="auto" w:line="240" w:before="0" w:after="0"/>
        <w:ind w:hanging="360" w:left="113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rozporządzenia Ministra Cyfryzacji z dnia 16 lutego 2023 r. w sprawie udzielania pomocy na rozwój infrastruktury szerokopasmowej w ramach programu Fundusze Europejskie na Rozwój Cyfrowy 2021–2027 (Dz. U. z 2023 r. poz. 405),</w:t>
      </w:r>
    </w:p>
    <w:p>
      <w:pPr>
        <w:pStyle w:val="Normal"/>
        <w:numPr>
          <w:ilvl w:val="0"/>
          <w:numId w:val="1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Wykonujemy zadania w interesie publicznym lub sprawujemy powierzoną nam władzę publiczną (art. 6 ust. 1 lit. e RODO),</w:t>
      </w:r>
    </w:p>
    <w:p>
      <w:pPr>
        <w:pStyle w:val="Normal"/>
        <w:numPr>
          <w:ilvl w:val="0"/>
          <w:numId w:val="1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Przygotowujemy i realizujemy umowy, których są Państwo stroną, a przetwarzanie danych osobowych jest niezbędne do ich zawarcia i wykonania (art. 6 ust. 1 lit. b RODO).</w:t>
      </w:r>
    </w:p>
    <w:p>
      <w:pPr>
        <w:pStyle w:val="Normal"/>
        <w:spacing w:lineRule="auto" w:line="240" w:before="0" w:after="0"/>
        <w:ind w:left="72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Możemy przetwarzać następujące rodzaje Państwa danych: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dane związane z zakresem uczestnictwa osób fizycznych w projekcie, wskazane w art. 87 ust. 2 pkt 2 ustawy wdrożeniowej, w tym w szczególności: wynagrodzenie, formę i okres zaangażowania w projekcie,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dane osób fizycznych widniejące na dokumentach potwierdzających kwalifikowalność wydatków, wskazane w art. 87 ust. 2 pkt. 3 ustawy wdrożeniowej, m.in. numer rachunku bankowego, doświadczenie zawodowe, numer uprawnień budowlanych, numer księgi wieczystej,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dane dotyczące wizerunku i głosu osób uczestniczących w realizacji Programu lub biorących udział w wydarzeniach z nim związanych.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4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Dane pozyskujemy bezpośrednio od osób, których one dotyczą, albo od instytucji i podmiotów zaangażowanych w realizację FERC w tym w szczególności od wnioskodawców, beneficjentów, partnerów.</w:t>
      </w:r>
    </w:p>
    <w:p>
      <w:pPr>
        <w:pStyle w:val="ListParagraph"/>
        <w:spacing w:lineRule="auto" w:line="240" w:before="0" w:after="0"/>
        <w:ind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4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Dostęp do Państwa danych osobowych mają pracownicy i współpracownicy MFiPR oraz CPPC. Ponadto Państwa dane osobowe mogą być powierzane lub udostępniane: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podmiotom, w tym ekspertom, o których mowa w art. 80 ustawy wdrożeniowej, którym zleciliśmy wykonywanie zadań w ramach realizacji FERC,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instytucjom Unii Europejskiej (UE) lub podmiotom, którym UE powierzyła zadania dotyczące wdrażania FERC,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podmiotom, które wykonują dla nas usługi związane z obsługą i rozwojem systemów teleinformatycznych, a także zapewnieniem łączności, np. dostawcom rozwiązań IT i operatorom telekomunikacyjnym.</w:t>
      </w:r>
    </w:p>
    <w:p>
      <w:pPr>
        <w:pStyle w:val="Normal"/>
        <w:spacing w:lineRule="auto" w:line="240" w:before="0" w:after="0"/>
        <w:ind w:left="72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10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Będziemy przechowywać Państwa dane osobowe zgodnie z przepisami o narodowym zasobie archiwalnym i archiwach, do momentu zakończenia realizacji przez IZ/IP/Beneficjenta wszelkich zadań związanych z realizacją i rozliczeniem FERC, z zastrzeżeniem przepisów, które mogą przewidywać dłuższy termin przeprowadzania kontroli, a ponadto przepisów dotyczących pomocy publicznej i pomocy de minimis oraz przepisów dotyczących podatku od towarów i usług.</w:t>
      </w:r>
    </w:p>
    <w:p>
      <w:pPr>
        <w:pStyle w:val="ListParagraph"/>
        <w:spacing w:lineRule="auto" w:line="240" w:before="0" w:after="0"/>
        <w:ind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5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Przysługują Państwu następujące prawa: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dostępu do swoich danych osobowych oraz otrzymania ich kopii (art. 15 RODO),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do sprostowania swoich danych (art. 16 RODO),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do usunięcia swoich danych (art. 17 RODO) - jeśli dotyczy,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do żądania od administratora ograniczenia przetwarzania swoich danych (art. 18 RODO),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</w:t>
      </w:r>
    </w:p>
    <w:p>
      <w:pPr>
        <w:pStyle w:val="Normal"/>
        <w:numPr>
          <w:ilvl w:val="0"/>
          <w:numId w:val="17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>
      <w:pPr>
        <w:pStyle w:val="Normal"/>
        <w:spacing w:lineRule="auto" w:line="240" w:before="0" w:after="0"/>
        <w:ind w:left="72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6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Dane osobowe nie będą podlegały zautomatyzowanemu podejmowaniu decyzji, w tym profilowaniu.</w:t>
      </w:r>
    </w:p>
    <w:p>
      <w:pPr>
        <w:pStyle w:val="ListParagraph"/>
        <w:spacing w:lineRule="auto" w:line="240" w:before="0" w:after="0"/>
        <w:ind w:left="284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6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 zachowaniem warunków określonych w art. 45 lub 46 RODO.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6"/>
        </w:numPr>
        <w:spacing w:lineRule="auto" w:line="240" w:before="0" w:after="0"/>
        <w:ind w:hanging="360" w:left="284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Jeśli mają Państwo pytania dotyczące przetwarzania przez CPPC danych osobowych, prosimy kontaktować z Inspektorami Ochrony Danych Osobowych (dalej jako IOD) w następujący sposób: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IOD MFiPR: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hanging="360" w:left="993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pocztą tradycyjną kierując korespondencję na adres: ul. Wspólna 2/4, 00-926 Warszawa,</w:t>
      </w:r>
    </w:p>
    <w:p>
      <w:pPr>
        <w:pStyle w:val="Normal"/>
        <w:numPr>
          <w:ilvl w:val="0"/>
          <w:numId w:val="19"/>
        </w:numPr>
        <w:spacing w:lineRule="auto" w:line="240" w:before="0" w:after="0"/>
        <w:ind w:hanging="360" w:left="993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 xml:space="preserve">elektronicznie na adres e-mail: 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  <w:lang w:eastAsia="pl-PL"/>
        </w:rPr>
        <w:t>IOD@mfipr.gov.pl,</w:t>
      </w:r>
    </w:p>
    <w:p>
      <w:pPr>
        <w:pStyle w:val="Normal"/>
        <w:numPr>
          <w:ilvl w:val="0"/>
          <w:numId w:val="18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IOD CPPC: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hanging="360" w:left="993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>pocztą tradycyjną kierując korespondencję na adres: ul. Spokojna 13A, 01-044 Warszawa,</w:t>
      </w:r>
    </w:p>
    <w:p>
      <w:pPr>
        <w:pStyle w:val="Normal"/>
        <w:numPr>
          <w:ilvl w:val="0"/>
          <w:numId w:val="20"/>
        </w:numPr>
        <w:spacing w:lineRule="auto" w:line="240" w:before="0" w:after="0"/>
        <w:ind w:hanging="360" w:left="993"/>
        <w:jc w:val="both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0"/>
          <w:szCs w:val="20"/>
          <w:lang w:eastAsia="pl-PL"/>
        </w:rPr>
        <w:t xml:space="preserve">elektronicznie na adres e-mail: 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szCs w:val="20"/>
          <w:lang w:eastAsia="pl-PL"/>
        </w:rPr>
        <w:t>bezpieczenstwo@cppc.gov.pl.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  <w:t>ZAŁĄCZNIKI: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Cs/>
          <w:color w:val="000000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u w:val="single"/>
          <w:lang w:eastAsia="pl-PL"/>
        </w:rPr>
      </w:r>
    </w:p>
    <w:p>
      <w:pPr>
        <w:pStyle w:val="ListParagraph"/>
        <w:numPr>
          <w:ilvl w:val="0"/>
          <w:numId w:val="27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>Formularz oferty</w:t>
      </w:r>
    </w:p>
    <w:p>
      <w:pPr>
        <w:pStyle w:val="ListParagraph"/>
        <w:numPr>
          <w:ilvl w:val="0"/>
          <w:numId w:val="27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>Oświadczenie o braku powiązań z Zamawiającym i braku podstaw do wykluczenia</w:t>
      </w:r>
    </w:p>
    <w:p>
      <w:pPr>
        <w:pStyle w:val="ListParagraph"/>
        <w:numPr>
          <w:ilvl w:val="0"/>
          <w:numId w:val="27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 xml:space="preserve">Wykaz usług </w:t>
      </w:r>
    </w:p>
    <w:p>
      <w:pPr>
        <w:pStyle w:val="ListParagraph"/>
        <w:numPr>
          <w:ilvl w:val="0"/>
          <w:numId w:val="27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>Wykaz osób przeznaczonych do realizacji zamówienia</w:t>
      </w:r>
    </w:p>
    <w:p>
      <w:pPr>
        <w:pStyle w:val="ListParagraph"/>
        <w:numPr>
          <w:ilvl w:val="0"/>
          <w:numId w:val="27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bCs/>
          <w:lang w:eastAsia="pl-PL"/>
        </w:rPr>
      </w:pPr>
      <w:r>
        <w:rPr>
          <w:rFonts w:eastAsia="Times New Roman" w:cs="Times New Roman" w:ascii="Times New Roman" w:hAnsi="Times New Roman"/>
          <w:bCs/>
          <w:lang w:eastAsia="pl-PL"/>
        </w:rPr>
        <w:t xml:space="preserve">Projektowane postanowienia umowy dla części 1 - 4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pl-PL"/>
        </w:rPr>
      </w:r>
    </w:p>
    <w:p>
      <w:pPr>
        <w:pStyle w:val="ListParagraph"/>
        <w:tabs>
          <w:tab w:val="clear" w:pos="397"/>
          <w:tab w:val="left" w:pos="284" w:leader="none"/>
        </w:tabs>
        <w:spacing w:before="0" w:after="0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default" r:id="rId7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16">
          <wp:simplePos x="0" y="0"/>
          <wp:positionH relativeFrom="column">
            <wp:posOffset>-713740</wp:posOffset>
          </wp:positionH>
          <wp:positionV relativeFrom="paragraph">
            <wp:posOffset>-386080</wp:posOffset>
          </wp:positionV>
          <wp:extent cx="3627120" cy="749935"/>
          <wp:effectExtent l="0" t="0" r="0" b="0"/>
          <wp:wrapNone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49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4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2"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23">
    <w:lvl w:ilvl="0">
      <w:start w:val="6"/>
      <w:numFmt w:val="lowerLetter"/>
      <w:lvlText w:val="%1)"/>
      <w:lvlJc w:val="left"/>
      <w:pPr>
        <w:tabs>
          <w:tab w:val="num" w:pos="0"/>
        </w:tabs>
        <w:ind w:left="214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4">
    <w:lvl w:ilvl="0">
      <w:start w:val="6"/>
      <w:numFmt w:val="decimal"/>
      <w:lvlText w:val="%1."/>
      <w:lvlJc w:val="left"/>
      <w:pPr>
        <w:tabs>
          <w:tab w:val="num" w:pos="0"/>
        </w:tabs>
        <w:ind w:left="107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5"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6"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</w:numbering>
</file>

<file path=word/settings.xml><?xml version="1.0" encoding="utf-8"?>
<w:settings xmlns:w="http://schemas.openxmlformats.org/wordprocessingml/2006/main">
  <w:zoom w:percent="110"/>
  <w:defaultTabStop w:val="397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63b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50226"/>
    <w:rPr/>
  </w:style>
  <w:style w:type="character" w:styleId="StopkaZnak" w:customStyle="1">
    <w:name w:val="Stopka Znak"/>
    <w:basedOn w:val="DefaultParagraphFont"/>
    <w:uiPriority w:val="99"/>
    <w:qFormat/>
    <w:rsid w:val="00e50226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5022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7dd8"/>
    <w:rPr>
      <w:color w:themeColor="hyperlink" w:val="0000FF"/>
      <w:u w:val="single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8f30b7"/>
    <w:rPr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8f30b7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2878b7"/>
    <w:rPr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2878b7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50226"/>
    <w:pPr>
      <w:tabs>
        <w:tab w:val="clear" w:pos="397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50226"/>
    <w:pPr>
      <w:tabs>
        <w:tab w:val="clear" w:pos="397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5022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b4a"/>
    <w:pPr>
      <w:spacing w:before="0" w:after="200"/>
      <w:ind w:left="720"/>
      <w:contextualSpacing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8f30b7"/>
    <w:pPr>
      <w:spacing w:lineRule="auto" w:line="240" w:before="0" w:after="0"/>
    </w:pPr>
    <w:rPr>
      <w:sz w:val="20"/>
      <w:szCs w:val="20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2878b7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a7b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agodda@um.tczew.pl" TargetMode="External"/><Relationship Id="rId3" Type="http://schemas.openxmlformats.org/officeDocument/2006/relationships/hyperlink" Target="https://bazakonkurencyjnosci.funduszeeuropejskie.gov.pl/" TargetMode="External"/><Relationship Id="rId4" Type="http://schemas.openxmlformats.org/officeDocument/2006/relationships/hyperlink" Target="mailto:sekretariat@um.tczew.pl" TargetMode="External"/><Relationship Id="rId5" Type="http://schemas.openxmlformats.org/officeDocument/2006/relationships/image" Target="media/image1.wmf"/><Relationship Id="rId6" Type="http://schemas.openxmlformats.org/officeDocument/2006/relationships/hyperlink" Target="mailto:jagodda@um.tczew.pl" TargetMode="External"/><Relationship Id="rId7" Type="http://schemas.openxmlformats.org/officeDocument/2006/relationships/header" Target="head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60D0F-DE62-4F07-B2BF-EE646517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4511</TotalTime>
  <Application>LibreOffice/7.6.3.2$Windows_X86_64 LibreOffice_project/29d686fea9f6705b262d369fede658f824154cc0</Application>
  <AppVersion>15.0000</AppVersion>
  <Pages>14</Pages>
  <Words>4775</Words>
  <Characters>30781</Characters>
  <CharactersWithSpaces>34996</CharactersWithSpaces>
  <Paragraphs>422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2025-12-12T11:52:00Z</dcterms:created>
  <dc:creator>user</dc:creator>
  <dc:description/>
  <dc:language>pl-PL</dc:language>
  <cp:lastModifiedBy/>
  <cp:lastPrinted>2025-09-24T12:49:00Z</cp:lastPrinted>
  <dcterms:modified xsi:type="dcterms:W3CDTF">2025-12-15T23:11:37Z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